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48" w:rsidRDefault="00294748" w:rsidP="005D6F19">
      <w:pPr>
        <w:pStyle w:val="Heading1"/>
        <w:ind w:left="901" w:right="1139"/>
        <w:jc w:val="center"/>
        <w:rPr>
          <w:rFonts w:ascii="Arial" w:hAnsi="Arial" w:cs="Arial"/>
        </w:rPr>
      </w:pPr>
    </w:p>
    <w:p w:rsidR="00D10FE7" w:rsidRPr="00D10FE7" w:rsidRDefault="00B4323B" w:rsidP="005D6F19">
      <w:pPr>
        <w:pStyle w:val="Heading1"/>
        <w:ind w:left="901" w:right="1139"/>
        <w:jc w:val="center"/>
        <w:rPr>
          <w:rFonts w:ascii="Arial" w:hAnsi="Arial" w:cs="Arial"/>
        </w:rPr>
      </w:pPr>
      <w:r>
        <w:rPr>
          <w:rFonts w:ascii="Arial" w:hAnsi="Arial" w:cs="Arial"/>
          <w:noProof/>
          <w:lang w:bidi="ar-SA"/>
        </w:rPr>
        <w:pict>
          <v:shapetype id="_x0000_t202" coordsize="21600,21600" o:spt="202" path="m,l,21600r21600,l21600,xe">
            <v:stroke joinstyle="miter"/>
            <v:path gradientshapeok="t" o:connecttype="rect"/>
          </v:shapetype>
          <v:shape id="Text Box 54" o:spid="_x0000_s1026" type="#_x0000_t202" style="position:absolute;left:0;text-align:left;margin-left:303.3pt;margin-top:724.55pt;width:5.6pt;height:11.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8k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" filled="f" stroked="f">
            <v:textbox inset="0,0,0,0">
              <w:txbxContent>
                <w:p w:rsidR="00D10FE7" w:rsidRDefault="00D10FE7" w:rsidP="00D10FE7">
                  <w:pPr>
                    <w:spacing w:line="221" w:lineRule="exact"/>
                    <w:rPr>
                      <w:rFonts w:ascii="Calibri"/>
                    </w:rPr>
                  </w:pPr>
                  <w:r>
                    <w:rPr>
                      <w:rFonts w:ascii="Calibri"/>
                    </w:rPr>
                    <w:t>1</w:t>
                  </w:r>
                </w:p>
              </w:txbxContent>
            </v:textbox>
            <w10:wrap anchorx="page" anchory="page"/>
          </v:shape>
        </w:pict>
      </w:r>
      <w:r w:rsidR="005D6F19" w:rsidRPr="00D10FE7">
        <w:rPr>
          <w:rFonts w:ascii="Arial" w:hAnsi="Arial" w:cs="Arial"/>
        </w:rPr>
        <w:t>SUSTAINABLE PEACEBUILDING THROUGH COMMUNITY DEVELOPMENT PROJECTS IN SOUTH SUDAN: A CASE OF TEREKEKA STATE</w:t>
      </w:r>
    </w:p>
    <w:p w:rsidR="00D10FE7" w:rsidRPr="00D10FE7" w:rsidRDefault="005D6F19" w:rsidP="005D6F19">
      <w:pPr>
        <w:spacing w:before="140"/>
        <w:ind w:left="901" w:right="1138"/>
        <w:jc w:val="center"/>
        <w:rPr>
          <w:rFonts w:ascii="Arial" w:hAnsi="Arial" w:cs="Arial"/>
          <w:b/>
          <w:sz w:val="24"/>
        </w:rPr>
      </w:pPr>
      <w:r>
        <w:rPr>
          <w:rFonts w:ascii="Arial" w:hAnsi="Arial" w:cs="Arial"/>
          <w:b/>
          <w:sz w:val="24"/>
        </w:rPr>
        <w:t>Alex</w:t>
      </w:r>
      <w:r w:rsidR="00D10FE7" w:rsidRPr="00D10FE7">
        <w:rPr>
          <w:rFonts w:ascii="Arial" w:hAnsi="Arial" w:cs="Arial"/>
          <w:b/>
          <w:sz w:val="24"/>
        </w:rPr>
        <w:t xml:space="preserve"> </w:t>
      </w:r>
      <w:proofErr w:type="spellStart"/>
      <w:r w:rsidR="00D10FE7" w:rsidRPr="00D10FE7">
        <w:rPr>
          <w:rFonts w:ascii="Arial" w:hAnsi="Arial" w:cs="Arial"/>
          <w:b/>
          <w:sz w:val="24"/>
        </w:rPr>
        <w:t>Garang</w:t>
      </w:r>
      <w:proofErr w:type="spellEnd"/>
      <w:r w:rsidR="00D10FE7" w:rsidRPr="00D10FE7">
        <w:rPr>
          <w:rFonts w:ascii="Arial" w:hAnsi="Arial" w:cs="Arial"/>
          <w:b/>
          <w:sz w:val="24"/>
        </w:rPr>
        <w:t xml:space="preserve"> </w:t>
      </w:r>
      <w:proofErr w:type="spellStart"/>
      <w:r w:rsidR="00D10FE7" w:rsidRPr="00D10FE7">
        <w:rPr>
          <w:rFonts w:ascii="Arial" w:hAnsi="Arial" w:cs="Arial"/>
          <w:b/>
          <w:sz w:val="24"/>
        </w:rPr>
        <w:t>Aleu</w:t>
      </w:r>
      <w:proofErr w:type="spellEnd"/>
      <w:r>
        <w:rPr>
          <w:rFonts w:ascii="Arial" w:hAnsi="Arial" w:cs="Arial"/>
          <w:b/>
          <w:sz w:val="24"/>
        </w:rPr>
        <w:t>;</w:t>
      </w:r>
      <w:r w:rsidR="00D10FE7" w:rsidRPr="00D10FE7">
        <w:rPr>
          <w:rFonts w:ascii="Arial" w:hAnsi="Arial" w:cs="Arial"/>
          <w:b/>
          <w:sz w:val="24"/>
        </w:rPr>
        <w:t xml:space="preserve"> Reg. No. 2014/HD03/18665X</w:t>
      </w:r>
    </w:p>
    <w:p w:rsidR="00D10FE7" w:rsidRPr="00D10FE7" w:rsidRDefault="00D10FE7" w:rsidP="005D6F19">
      <w:pPr>
        <w:pStyle w:val="BodyText"/>
        <w:jc w:val="center"/>
        <w:rPr>
          <w:rFonts w:ascii="Arial" w:hAnsi="Arial" w:cs="Arial"/>
          <w:b/>
          <w:sz w:val="26"/>
        </w:rPr>
      </w:pPr>
    </w:p>
    <w:p w:rsidR="00D10FE7" w:rsidRPr="00D10FE7" w:rsidRDefault="00D10FE7" w:rsidP="00D10FE7">
      <w:pPr>
        <w:rPr>
          <w:rFonts w:ascii="Arial" w:hAnsi="Arial" w:cs="Arial"/>
        </w:rPr>
      </w:pPr>
    </w:p>
    <w:p w:rsidR="00D10FE7" w:rsidRPr="005D6F19" w:rsidRDefault="005D6F19" w:rsidP="00D10FE7">
      <w:pPr>
        <w:pStyle w:val="BodyText"/>
        <w:spacing w:before="132"/>
        <w:ind w:right="1320"/>
        <w:jc w:val="center"/>
        <w:rPr>
          <w:rFonts w:ascii="Arial" w:hAnsi="Arial" w:cs="Arial"/>
          <w:b/>
        </w:rPr>
      </w:pPr>
      <w:r w:rsidRPr="005D6F19">
        <w:rPr>
          <w:rFonts w:ascii="Arial" w:hAnsi="Arial" w:cs="Arial"/>
          <w:b/>
        </w:rPr>
        <w:t>ABSTRACT</w:t>
      </w:r>
    </w:p>
    <w:p w:rsidR="00D10FE7" w:rsidRPr="005D6F19" w:rsidRDefault="00D10FE7" w:rsidP="00D10FE7">
      <w:pPr>
        <w:pStyle w:val="BodyText"/>
        <w:spacing w:before="132"/>
        <w:ind w:right="720"/>
        <w:jc w:val="both"/>
        <w:rPr>
          <w:rFonts w:asciiTheme="minorHAnsi" w:hAnsiTheme="minorHAnsi" w:cs="Arial"/>
        </w:rPr>
      </w:pPr>
      <w:r w:rsidRPr="005D6F19">
        <w:rPr>
          <w:rFonts w:asciiTheme="minorHAnsi" w:hAnsiTheme="minorHAnsi" w:cs="Arial"/>
        </w:rPr>
        <w:t xml:space="preserve">Despite the fact that a lot of research has been done about community development in relation to </w:t>
      </w:r>
      <w:proofErr w:type="spellStart"/>
      <w:r w:rsidRPr="005D6F19">
        <w:rPr>
          <w:rFonts w:asciiTheme="minorHAnsi" w:hAnsiTheme="minorHAnsi" w:cs="Arial"/>
        </w:rPr>
        <w:t>peacebuilding</w:t>
      </w:r>
      <w:proofErr w:type="spellEnd"/>
      <w:r w:rsidRPr="005D6F19">
        <w:rPr>
          <w:rFonts w:asciiTheme="minorHAnsi" w:hAnsiTheme="minorHAnsi" w:cs="Arial"/>
        </w:rPr>
        <w:t xml:space="preserve">, there are only a few studies available on the contribution of community development projects to </w:t>
      </w:r>
      <w:proofErr w:type="spellStart"/>
      <w:r w:rsidRPr="005D6F19">
        <w:rPr>
          <w:rFonts w:asciiTheme="minorHAnsi" w:hAnsiTheme="minorHAnsi" w:cs="Arial"/>
        </w:rPr>
        <w:t>peacebuilding</w:t>
      </w:r>
      <w:proofErr w:type="spellEnd"/>
      <w:r w:rsidRPr="005D6F19">
        <w:rPr>
          <w:rFonts w:asciiTheme="minorHAnsi" w:hAnsiTheme="minorHAnsi" w:cs="Arial"/>
        </w:rPr>
        <w:t xml:space="preserve"> processes. The intention of this study is to fill the gap by investigating the contribution of the community development projects to the </w:t>
      </w:r>
      <w:proofErr w:type="spellStart"/>
      <w:r w:rsidRPr="005D6F19">
        <w:rPr>
          <w:rFonts w:asciiTheme="minorHAnsi" w:hAnsiTheme="minorHAnsi" w:cs="Arial"/>
        </w:rPr>
        <w:t>peacebuilding</w:t>
      </w:r>
      <w:proofErr w:type="spellEnd"/>
      <w:r w:rsidRPr="005D6F19">
        <w:rPr>
          <w:rFonts w:asciiTheme="minorHAnsi" w:hAnsiTheme="minorHAnsi" w:cs="Arial"/>
        </w:rPr>
        <w:t xml:space="preserve"> process in South Sudan, with a specific case of </w:t>
      </w:r>
      <w:proofErr w:type="spellStart"/>
      <w:r w:rsidRPr="005D6F19">
        <w:rPr>
          <w:rFonts w:asciiTheme="minorHAnsi" w:hAnsiTheme="minorHAnsi" w:cs="Arial"/>
        </w:rPr>
        <w:t>Terekeka</w:t>
      </w:r>
      <w:proofErr w:type="spellEnd"/>
      <w:r w:rsidRPr="005D6F19">
        <w:rPr>
          <w:rFonts w:asciiTheme="minorHAnsi" w:hAnsiTheme="minorHAnsi" w:cs="Arial"/>
        </w:rPr>
        <w:t xml:space="preserve"> State. The study adopted the qualitative approach. Two community development projects were selected for the study, that is, the South Sudan Livelihood and Development Project (SSLDP) and the Food Security and Livelihood Project (FSLP). The total number of participants in </w:t>
      </w:r>
      <w:bookmarkStart w:id="0" w:name="_GoBack"/>
      <w:bookmarkEnd w:id="0"/>
      <w:r w:rsidRPr="005D6F19">
        <w:rPr>
          <w:rFonts w:asciiTheme="minorHAnsi" w:hAnsiTheme="minorHAnsi" w:cs="Arial"/>
        </w:rPr>
        <w:t xml:space="preserve">the case of SSLDP was 38 individuals for in- depth interviews (30 were project participants while eight were non-participants). With regard to FSLP, the respondents totaled 22 individuals for in-depth interviews (18 were project participants while four were non-project participants). In addition, 32 key informants were interviewed. Eight focus group discussions (FGDs) were carried out for both the projects studied. The results of the finding were discussed after the process of data collection, with the help of key informants. The study revealed actors’ positive perceptions of the contributions of community development projects to sustainable </w:t>
      </w:r>
      <w:proofErr w:type="spellStart"/>
      <w:r w:rsidRPr="005D6F19">
        <w:rPr>
          <w:rFonts w:asciiTheme="minorHAnsi" w:hAnsiTheme="minorHAnsi" w:cs="Arial"/>
        </w:rPr>
        <w:t>peacebuilding</w:t>
      </w:r>
      <w:proofErr w:type="spellEnd"/>
      <w:r w:rsidRPr="005D6F19">
        <w:rPr>
          <w:rFonts w:asciiTheme="minorHAnsi" w:hAnsiTheme="minorHAnsi" w:cs="Arial"/>
        </w:rPr>
        <w:t xml:space="preserve">, which included nurturing friendly attitudes among the project participants; promoting unity and restoring positive communication; building confidence and trust; building a sense of tolerance and love; overcoming fear and suspicions; enabling positive collaboration; creating a bond between members; and enabling capacity building for </w:t>
      </w:r>
      <w:proofErr w:type="spellStart"/>
      <w:r w:rsidRPr="005D6F19">
        <w:rPr>
          <w:rFonts w:asciiTheme="minorHAnsi" w:hAnsiTheme="minorHAnsi" w:cs="Arial"/>
        </w:rPr>
        <w:t>peacebuilding</w:t>
      </w:r>
      <w:proofErr w:type="spellEnd"/>
      <w:r w:rsidRPr="005D6F19">
        <w:rPr>
          <w:rFonts w:asciiTheme="minorHAnsi" w:hAnsiTheme="minorHAnsi" w:cs="Arial"/>
        </w:rPr>
        <w:t xml:space="preserve"> engagement. In conclusion, the Community Development Projects studied contributed to the peace and stability. Each of the community development projects studied provided a favorable space in which negative-de</w:t>
      </w:r>
      <w:r w:rsidR="005D6F19">
        <w:rPr>
          <w:rFonts w:asciiTheme="minorHAnsi" w:hAnsiTheme="minorHAnsi" w:cs="Arial"/>
        </w:rPr>
        <w:t>-</w:t>
      </w:r>
      <w:proofErr w:type="spellStart"/>
      <w:r w:rsidRPr="005D6F19">
        <w:rPr>
          <w:rFonts w:asciiTheme="minorHAnsi" w:hAnsiTheme="minorHAnsi" w:cs="Arial"/>
        </w:rPr>
        <w:t>humanising</w:t>
      </w:r>
      <w:proofErr w:type="spellEnd"/>
      <w:r w:rsidRPr="005D6F19">
        <w:rPr>
          <w:rFonts w:asciiTheme="minorHAnsi" w:hAnsiTheme="minorHAnsi" w:cs="Arial"/>
        </w:rPr>
        <w:t xml:space="preserve"> attitudes wer</w:t>
      </w:r>
      <w:r w:rsidR="005D6F19">
        <w:rPr>
          <w:rFonts w:asciiTheme="minorHAnsi" w:hAnsiTheme="minorHAnsi" w:cs="Arial"/>
        </w:rPr>
        <w:t>e overcome, while positive, re-</w:t>
      </w:r>
      <w:proofErr w:type="spellStart"/>
      <w:r w:rsidRPr="005D6F19">
        <w:rPr>
          <w:rFonts w:asciiTheme="minorHAnsi" w:hAnsiTheme="minorHAnsi" w:cs="Arial"/>
        </w:rPr>
        <w:t>humanising</w:t>
      </w:r>
      <w:proofErr w:type="spellEnd"/>
      <w:r w:rsidRPr="005D6F19">
        <w:rPr>
          <w:rFonts w:asciiTheme="minorHAnsi" w:hAnsiTheme="minorHAnsi" w:cs="Arial"/>
        </w:rPr>
        <w:t xml:space="preserve"> ones were fostered: from fear to fearlessness; from suspicion to trust; from division to union.</w:t>
      </w:r>
    </w:p>
    <w:p w:rsidR="00D10FE7" w:rsidRPr="005D6F19" w:rsidRDefault="00D10FE7" w:rsidP="00D10FE7">
      <w:pPr>
        <w:tabs>
          <w:tab w:val="left" w:pos="1732"/>
          <w:tab w:val="left" w:pos="3288"/>
        </w:tabs>
        <w:spacing w:before="231"/>
        <w:ind w:right="720"/>
        <w:rPr>
          <w:rFonts w:asciiTheme="minorHAnsi" w:hAnsiTheme="minorHAnsi" w:cs="Arial"/>
          <w:b/>
          <w:sz w:val="24"/>
        </w:rPr>
      </w:pPr>
      <w:r w:rsidRPr="005D6F19">
        <w:rPr>
          <w:rFonts w:asciiTheme="minorHAnsi" w:hAnsiTheme="minorHAnsi" w:cs="Arial"/>
          <w:b/>
          <w:sz w:val="24"/>
        </w:rPr>
        <w:t>Supervisors:</w:t>
      </w:r>
      <w:r w:rsidRPr="005D6F19">
        <w:rPr>
          <w:rFonts w:asciiTheme="minorHAnsi" w:hAnsiTheme="minorHAnsi" w:cs="Arial"/>
          <w:b/>
          <w:sz w:val="24"/>
        </w:rPr>
        <w:tab/>
        <w:t xml:space="preserve">Dr. Paul </w:t>
      </w:r>
      <w:proofErr w:type="spellStart"/>
      <w:r w:rsidRPr="005D6F19">
        <w:rPr>
          <w:rFonts w:asciiTheme="minorHAnsi" w:hAnsiTheme="minorHAnsi" w:cs="Arial"/>
          <w:b/>
          <w:sz w:val="24"/>
        </w:rPr>
        <w:t>Bukuluki</w:t>
      </w:r>
      <w:proofErr w:type="spellEnd"/>
      <w:r w:rsidRPr="005D6F19">
        <w:rPr>
          <w:rFonts w:asciiTheme="minorHAnsi" w:hAnsiTheme="minorHAnsi" w:cs="Arial"/>
          <w:b/>
          <w:sz w:val="24"/>
        </w:rPr>
        <w:t xml:space="preserve"> and Dr. Christine </w:t>
      </w:r>
      <w:proofErr w:type="spellStart"/>
      <w:r w:rsidRPr="005D6F19">
        <w:rPr>
          <w:rFonts w:asciiTheme="minorHAnsi" w:hAnsiTheme="minorHAnsi" w:cs="Arial"/>
          <w:b/>
          <w:sz w:val="24"/>
        </w:rPr>
        <w:t>Mbabazi</w:t>
      </w:r>
      <w:proofErr w:type="spellEnd"/>
      <w:r w:rsidRPr="005D6F19">
        <w:rPr>
          <w:rFonts w:asciiTheme="minorHAnsi" w:hAnsiTheme="minorHAnsi" w:cs="Arial"/>
          <w:b/>
          <w:sz w:val="24"/>
        </w:rPr>
        <w:t xml:space="preserve"> </w:t>
      </w:r>
      <w:proofErr w:type="spellStart"/>
      <w:r w:rsidRPr="005D6F19">
        <w:rPr>
          <w:rFonts w:asciiTheme="minorHAnsi" w:hAnsiTheme="minorHAnsi" w:cs="Arial"/>
          <w:b/>
          <w:sz w:val="24"/>
        </w:rPr>
        <w:t>Mpyangu</w:t>
      </w:r>
      <w:proofErr w:type="spellEnd"/>
    </w:p>
    <w:p w:rsidR="00D10FE7" w:rsidRPr="005D6F19" w:rsidRDefault="00D10FE7" w:rsidP="00D10FE7">
      <w:pPr>
        <w:ind w:right="720"/>
        <w:rPr>
          <w:rFonts w:asciiTheme="minorHAnsi" w:hAnsiTheme="minorHAnsi" w:cs="Arial"/>
          <w:b/>
          <w:color w:val="000000"/>
        </w:rPr>
      </w:pPr>
    </w:p>
    <w:p w:rsidR="00D10FE7" w:rsidRPr="005D6F19" w:rsidRDefault="00D10FE7" w:rsidP="00D10FE7">
      <w:pPr>
        <w:ind w:right="720"/>
        <w:rPr>
          <w:rFonts w:asciiTheme="minorHAnsi" w:hAnsiTheme="minorHAnsi" w:cs="Arial"/>
          <w:color w:val="000000"/>
        </w:rPr>
      </w:pPr>
      <w:r w:rsidRPr="005D6F19">
        <w:rPr>
          <w:rFonts w:asciiTheme="minorHAnsi" w:hAnsiTheme="minorHAnsi" w:cs="Arial"/>
          <w:b/>
          <w:color w:val="000000"/>
        </w:rPr>
        <w:t>Date</w:t>
      </w:r>
      <w:r w:rsidRPr="005D6F19">
        <w:rPr>
          <w:rFonts w:asciiTheme="minorHAnsi" w:hAnsiTheme="minorHAnsi" w:cs="Arial"/>
          <w:color w:val="000000"/>
        </w:rPr>
        <w:t xml:space="preserve"> </w:t>
      </w:r>
      <w:proofErr w:type="gramStart"/>
      <w:r w:rsidRPr="005D6F19">
        <w:rPr>
          <w:rFonts w:asciiTheme="minorHAnsi" w:hAnsiTheme="minorHAnsi" w:cs="Arial"/>
          <w:color w:val="000000"/>
        </w:rPr>
        <w:t>of  Defense</w:t>
      </w:r>
      <w:proofErr w:type="gramEnd"/>
      <w:r w:rsidRPr="005D6F19">
        <w:rPr>
          <w:rFonts w:asciiTheme="minorHAnsi" w:hAnsiTheme="minorHAnsi" w:cs="Arial"/>
          <w:color w:val="000000"/>
        </w:rPr>
        <w:t xml:space="preserve"> </w:t>
      </w:r>
      <w:r w:rsidR="004E672C">
        <w:rPr>
          <w:rFonts w:asciiTheme="minorHAnsi" w:hAnsiTheme="minorHAnsi" w:cs="Arial"/>
          <w:color w:val="000000"/>
        </w:rPr>
        <w:t>10</w:t>
      </w:r>
      <w:r w:rsidR="004E672C" w:rsidRPr="004E672C">
        <w:rPr>
          <w:rFonts w:asciiTheme="minorHAnsi" w:hAnsiTheme="minorHAnsi" w:cs="Arial"/>
          <w:color w:val="000000"/>
          <w:vertAlign w:val="superscript"/>
        </w:rPr>
        <w:t>th</w:t>
      </w:r>
      <w:r w:rsidR="004E672C">
        <w:rPr>
          <w:rFonts w:asciiTheme="minorHAnsi" w:hAnsiTheme="minorHAnsi" w:cs="Arial"/>
          <w:color w:val="000000"/>
        </w:rPr>
        <w:t xml:space="preserve"> August,</w:t>
      </w:r>
      <w:r w:rsidRPr="005D6F19">
        <w:rPr>
          <w:rFonts w:asciiTheme="minorHAnsi" w:hAnsiTheme="minorHAnsi" w:cs="Arial"/>
          <w:color w:val="000000"/>
        </w:rPr>
        <w:t xml:space="preserve"> 2020; </w:t>
      </w:r>
      <w:r w:rsidRPr="005D6F19">
        <w:rPr>
          <w:rFonts w:asciiTheme="minorHAnsi" w:hAnsiTheme="minorHAnsi" w:cs="Arial"/>
          <w:b/>
          <w:color w:val="000000"/>
        </w:rPr>
        <w:t>Time</w:t>
      </w:r>
      <w:r w:rsidRPr="005D6F19">
        <w:rPr>
          <w:rFonts w:asciiTheme="minorHAnsi" w:hAnsiTheme="minorHAnsi" w:cs="Arial"/>
          <w:color w:val="000000"/>
        </w:rPr>
        <w:t xml:space="preserve">: 10.00 am;  </w:t>
      </w:r>
      <w:r w:rsidRPr="005D6F19">
        <w:rPr>
          <w:rFonts w:asciiTheme="minorHAnsi" w:hAnsiTheme="minorHAnsi" w:cs="Arial"/>
          <w:b/>
          <w:color w:val="000000"/>
        </w:rPr>
        <w:t>Venue</w:t>
      </w:r>
      <w:r w:rsidRPr="005D6F19">
        <w:rPr>
          <w:rFonts w:asciiTheme="minorHAnsi" w:hAnsiTheme="minorHAnsi" w:cs="Arial"/>
          <w:color w:val="000000"/>
        </w:rPr>
        <w:t xml:space="preserve"> CTF1 Room 4.2</w:t>
      </w:r>
    </w:p>
    <w:p w:rsidR="00D10FE7" w:rsidRPr="005D6F19" w:rsidRDefault="00D10FE7" w:rsidP="00D10FE7">
      <w:pPr>
        <w:pStyle w:val="BodyText"/>
        <w:spacing w:before="132"/>
        <w:ind w:right="1320"/>
        <w:jc w:val="both"/>
        <w:rPr>
          <w:rFonts w:asciiTheme="minorHAnsi" w:hAnsiTheme="minorHAnsi"/>
        </w:rPr>
      </w:pPr>
    </w:p>
    <w:p w:rsidR="00D10FE7" w:rsidRDefault="00D10FE7" w:rsidP="00D10FE7">
      <w:pPr>
        <w:pStyle w:val="BodyText"/>
        <w:spacing w:before="132"/>
        <w:ind w:left="920" w:right="1151"/>
        <w:jc w:val="both"/>
      </w:pPr>
    </w:p>
    <w:p w:rsidR="00D10FE7" w:rsidRDefault="00D10FE7" w:rsidP="00D10FE7">
      <w:pPr>
        <w:pStyle w:val="BodyText"/>
        <w:rPr>
          <w:sz w:val="26"/>
        </w:rPr>
      </w:pPr>
    </w:p>
    <w:p w:rsidR="00D10FE7" w:rsidRDefault="00D10FE7" w:rsidP="00D10FE7">
      <w:pPr>
        <w:pStyle w:val="BodyText"/>
        <w:spacing w:before="10"/>
        <w:rPr>
          <w:sz w:val="27"/>
        </w:rPr>
      </w:pPr>
    </w:p>
    <w:p w:rsidR="00D10FE7" w:rsidRDefault="00D10FE7" w:rsidP="00D10FE7"/>
    <w:p w:rsidR="004E4372" w:rsidRDefault="001B4305" w:rsidP="00D10FE7"/>
    <w:sectPr w:rsidR="004E4372" w:rsidSect="00C37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3F2"/>
    <w:multiLevelType w:val="hybridMultilevel"/>
    <w:tmpl w:val="09E4EDCA"/>
    <w:lvl w:ilvl="0" w:tplc="FF6C998C">
      <w:start w:val="1"/>
      <w:numFmt w:val="decimal"/>
      <w:lvlText w:val="%1."/>
      <w:lvlJc w:val="left"/>
      <w:pPr>
        <w:ind w:left="1731" w:hanging="360"/>
        <w:jc w:val="left"/>
      </w:pPr>
      <w:rPr>
        <w:rFonts w:ascii="Times New Roman" w:eastAsia="Times New Roman" w:hAnsi="Times New Roman" w:cs="Times New Roman" w:hint="default"/>
        <w:b/>
        <w:bCs/>
        <w:spacing w:val="-4"/>
        <w:w w:val="99"/>
        <w:sz w:val="24"/>
        <w:szCs w:val="24"/>
        <w:lang w:val="en-US" w:eastAsia="en-US" w:bidi="en-US"/>
      </w:rPr>
    </w:lvl>
    <w:lvl w:ilvl="1" w:tplc="09265550">
      <w:numFmt w:val="bullet"/>
      <w:lvlText w:val="•"/>
      <w:lvlJc w:val="left"/>
      <w:pPr>
        <w:ind w:left="2710" w:hanging="360"/>
      </w:pPr>
      <w:rPr>
        <w:rFonts w:hint="default"/>
        <w:lang w:val="en-US" w:eastAsia="en-US" w:bidi="en-US"/>
      </w:rPr>
    </w:lvl>
    <w:lvl w:ilvl="2" w:tplc="6BEE2C2A">
      <w:numFmt w:val="bullet"/>
      <w:lvlText w:val="•"/>
      <w:lvlJc w:val="left"/>
      <w:pPr>
        <w:ind w:left="3680" w:hanging="360"/>
      </w:pPr>
      <w:rPr>
        <w:rFonts w:hint="default"/>
        <w:lang w:val="en-US" w:eastAsia="en-US" w:bidi="en-US"/>
      </w:rPr>
    </w:lvl>
    <w:lvl w:ilvl="3" w:tplc="D0DAC1BE">
      <w:numFmt w:val="bullet"/>
      <w:lvlText w:val="•"/>
      <w:lvlJc w:val="left"/>
      <w:pPr>
        <w:ind w:left="4650" w:hanging="360"/>
      </w:pPr>
      <w:rPr>
        <w:rFonts w:hint="default"/>
        <w:lang w:val="en-US" w:eastAsia="en-US" w:bidi="en-US"/>
      </w:rPr>
    </w:lvl>
    <w:lvl w:ilvl="4" w:tplc="46324256">
      <w:numFmt w:val="bullet"/>
      <w:lvlText w:val="•"/>
      <w:lvlJc w:val="left"/>
      <w:pPr>
        <w:ind w:left="5620" w:hanging="360"/>
      </w:pPr>
      <w:rPr>
        <w:rFonts w:hint="default"/>
        <w:lang w:val="en-US" w:eastAsia="en-US" w:bidi="en-US"/>
      </w:rPr>
    </w:lvl>
    <w:lvl w:ilvl="5" w:tplc="36FCBC1C">
      <w:numFmt w:val="bullet"/>
      <w:lvlText w:val="•"/>
      <w:lvlJc w:val="left"/>
      <w:pPr>
        <w:ind w:left="6590" w:hanging="360"/>
      </w:pPr>
      <w:rPr>
        <w:rFonts w:hint="default"/>
        <w:lang w:val="en-US" w:eastAsia="en-US" w:bidi="en-US"/>
      </w:rPr>
    </w:lvl>
    <w:lvl w:ilvl="6" w:tplc="F1CA85D2">
      <w:numFmt w:val="bullet"/>
      <w:lvlText w:val="•"/>
      <w:lvlJc w:val="left"/>
      <w:pPr>
        <w:ind w:left="7560" w:hanging="360"/>
      </w:pPr>
      <w:rPr>
        <w:rFonts w:hint="default"/>
        <w:lang w:val="en-US" w:eastAsia="en-US" w:bidi="en-US"/>
      </w:rPr>
    </w:lvl>
    <w:lvl w:ilvl="7" w:tplc="506A7708">
      <w:numFmt w:val="bullet"/>
      <w:lvlText w:val="•"/>
      <w:lvlJc w:val="left"/>
      <w:pPr>
        <w:ind w:left="8530" w:hanging="360"/>
      </w:pPr>
      <w:rPr>
        <w:rFonts w:hint="default"/>
        <w:lang w:val="en-US" w:eastAsia="en-US" w:bidi="en-US"/>
      </w:rPr>
    </w:lvl>
    <w:lvl w:ilvl="8" w:tplc="F4A6247C">
      <w:numFmt w:val="bullet"/>
      <w:lvlText w:val="•"/>
      <w:lvlJc w:val="left"/>
      <w:pPr>
        <w:ind w:left="950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D10FE7"/>
    <w:rsid w:val="001B4305"/>
    <w:rsid w:val="00294748"/>
    <w:rsid w:val="003F2D82"/>
    <w:rsid w:val="004E672C"/>
    <w:rsid w:val="0057443B"/>
    <w:rsid w:val="005D6F19"/>
    <w:rsid w:val="00A33F1E"/>
    <w:rsid w:val="00B4323B"/>
    <w:rsid w:val="00D10FE7"/>
    <w:rsid w:val="00D3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0FE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D10FE7"/>
    <w:pPr>
      <w:spacing w:before="79"/>
      <w:ind w:left="13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FE7"/>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10FE7"/>
    <w:rPr>
      <w:sz w:val="24"/>
      <w:szCs w:val="24"/>
    </w:rPr>
  </w:style>
  <w:style w:type="character" w:customStyle="1" w:styleId="BodyTextChar">
    <w:name w:val="Body Text Char"/>
    <w:basedOn w:val="DefaultParagraphFont"/>
    <w:link w:val="BodyText"/>
    <w:uiPriority w:val="1"/>
    <w:rsid w:val="00D10FE7"/>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D10FE7"/>
    <w:pPr>
      <w:spacing w:before="238"/>
      <w:ind w:left="1345" w:hanging="42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Sustainable Peacebuilding through Community Development Projects in South Sudan</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 SLPA</dc:creator>
  <cp:lastModifiedBy>hasifa kabejja</cp:lastModifiedBy>
  <cp:revision>2</cp:revision>
  <dcterms:created xsi:type="dcterms:W3CDTF">2020-07-24T13:20:00Z</dcterms:created>
  <dcterms:modified xsi:type="dcterms:W3CDTF">2020-07-24T13:20:00Z</dcterms:modified>
</cp:coreProperties>
</file>