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5B" w:rsidRPr="00473E07" w:rsidRDefault="00F31F5B" w:rsidP="0047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0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73E07" w:rsidRPr="00F31F5B" w:rsidRDefault="00473E07" w:rsidP="0047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F5B" w:rsidRPr="00F31F5B" w:rsidRDefault="00F31F5B" w:rsidP="00F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5B">
        <w:rPr>
          <w:rFonts w:ascii="Times New Roman" w:hAnsi="Times New Roman" w:cs="Times New Roman"/>
          <w:sz w:val="24"/>
          <w:szCs w:val="24"/>
        </w:rPr>
        <w:t>The study investigated the post conflict gender differentiated pathways to understanding Child</w:t>
      </w:r>
    </w:p>
    <w:p w:rsidR="00F31F5B" w:rsidRPr="00F31F5B" w:rsidRDefault="00F31F5B" w:rsidP="00F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5B">
        <w:rPr>
          <w:rFonts w:ascii="Times New Roman" w:hAnsi="Times New Roman" w:cs="Times New Roman"/>
          <w:sz w:val="24"/>
          <w:szCs w:val="24"/>
        </w:rPr>
        <w:t>Abuse and Neglect in Gulu, Lira and Kitgum districts, northern Uganda. Northern Uganda</w:t>
      </w:r>
    </w:p>
    <w:p w:rsidR="00F31F5B" w:rsidRPr="00F31F5B" w:rsidRDefault="00F31F5B" w:rsidP="00F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5B">
        <w:rPr>
          <w:rFonts w:ascii="Times New Roman" w:hAnsi="Times New Roman" w:cs="Times New Roman"/>
          <w:sz w:val="24"/>
          <w:szCs w:val="24"/>
        </w:rPr>
        <w:t>experienced a conflict for 2 decades (1986-2006). The experiences of the conflict left the entire</w:t>
      </w:r>
    </w:p>
    <w:p w:rsidR="00F31F5B" w:rsidRPr="00F31F5B" w:rsidRDefault="00F31F5B" w:rsidP="00F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5B">
        <w:rPr>
          <w:rFonts w:ascii="Times New Roman" w:hAnsi="Times New Roman" w:cs="Times New Roman"/>
          <w:sz w:val="24"/>
          <w:szCs w:val="24"/>
        </w:rPr>
        <w:t>population not only traumatized but also in extreme poverty, and up to present, children experience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multiple vulnerabilities. The objectives of the study were to; ascertain the magnitude of different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types of Child Abuse and Neglect, assess how household gender characteristics affected Child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Abuse and Neglect, evaluate the efficacy of existing gender related policies on Child Abuse and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Neglect and evaluate the available interventions. The study used mixed methods research design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and specifically employed convergent parallel mixed methods. Qualitative and quantitative data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were collected in parallel, analyzed separately and then merged for comparison. Quantitative data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was obtained from a sample of 104 children reported for abuse and</w:t>
      </w:r>
      <w:r w:rsidR="00473E07">
        <w:rPr>
          <w:rFonts w:ascii="Times New Roman" w:hAnsi="Times New Roman" w:cs="Times New Roman"/>
          <w:sz w:val="24"/>
          <w:szCs w:val="24"/>
        </w:rPr>
        <w:t>/</w:t>
      </w:r>
      <w:r w:rsidRPr="00F31F5B">
        <w:rPr>
          <w:rFonts w:ascii="Times New Roman" w:hAnsi="Times New Roman" w:cs="Times New Roman"/>
          <w:sz w:val="24"/>
          <w:szCs w:val="24"/>
        </w:rPr>
        <w:t>or neglect. Qualitative data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was obtained fro</w:t>
      </w:r>
      <w:r w:rsidR="00473E07">
        <w:rPr>
          <w:rFonts w:ascii="Times New Roman" w:hAnsi="Times New Roman" w:cs="Times New Roman"/>
          <w:sz w:val="24"/>
          <w:szCs w:val="24"/>
        </w:rPr>
        <w:t>m</w:t>
      </w:r>
      <w:r w:rsidRPr="00F31F5B">
        <w:rPr>
          <w:rFonts w:ascii="Times New Roman" w:hAnsi="Times New Roman" w:cs="Times New Roman"/>
          <w:sz w:val="24"/>
          <w:szCs w:val="24"/>
        </w:rPr>
        <w:t xml:space="preserve"> 13 abused and/or neglected children, 35 caregivers and</w:t>
      </w:r>
      <w:r w:rsidR="00473E07">
        <w:rPr>
          <w:rFonts w:ascii="Times New Roman" w:hAnsi="Times New Roman" w:cs="Times New Roman"/>
          <w:sz w:val="24"/>
          <w:szCs w:val="24"/>
        </w:rPr>
        <w:t>/</w:t>
      </w:r>
      <w:r w:rsidRPr="00F31F5B">
        <w:rPr>
          <w:rFonts w:ascii="Times New Roman" w:hAnsi="Times New Roman" w:cs="Times New Roman"/>
          <w:sz w:val="24"/>
          <w:szCs w:val="24"/>
        </w:rPr>
        <w:t>or parents, I2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key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informants and 5 FGDs. Findings indicated that 65 percent girls and 35 percent boys were reported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and included; 41 percent child sexual offences, 39 percent child neglect, 15 percent physical abuse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and 5 percent emotional abuse. More males (57 percent) than females (43 percent) were reported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as perpetrators for Child Abuse and Neglect. Factors emerging for persistent Child Abuse and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Neglect were family breakdown, patriarchal attitudes, cultural norms and practices, laxity in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parental roles and alcoholism. Efforts of policies like Universal Primary Education (UPE) policy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(1997) and National Health Policy (NHP) (2010-2020) to mitigate Child Abuse and Neglect have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not yet addressed the problem. More children (55 percent) were not in school and were more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abused compared to those in school (45 percent). Medical services were accessible and free to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children who sustained injuries resulting from abuse. The laws including the Children Amendment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Act. 2016, Birth and Deaths Registration Act- Chapter 309 (1973) and Domestic Violence Act,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2010 have been enacted but caregivers and parents have continued to subject their children to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different forms of abuses including domestic violence" Child Protection Committees (CPCs),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Community Development Officers (CDO) and Family and Child Protection Unit within the police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and para-social workers who work as volunteers on behalf of Non-Governmental Organizations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were heavily involved in different Child Abuse and Neglect interventions such as identification,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reporting and referral of cases for action, community dialogues and arresting of perpetrators. The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study recommends holistic and gender-based approaches that strengthen parenting strategies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which lead to restoration of family no</w:t>
      </w:r>
      <w:r w:rsidR="00473E07">
        <w:rPr>
          <w:rFonts w:ascii="Times New Roman" w:hAnsi="Times New Roman" w:cs="Times New Roman"/>
          <w:sz w:val="24"/>
          <w:szCs w:val="24"/>
        </w:rPr>
        <w:t>rm</w:t>
      </w:r>
      <w:r w:rsidRPr="00F31F5B">
        <w:rPr>
          <w:rFonts w:ascii="Times New Roman" w:hAnsi="Times New Roman" w:cs="Times New Roman"/>
          <w:sz w:val="24"/>
          <w:szCs w:val="24"/>
        </w:rPr>
        <w:t>s and values for better childcare practice. Among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limitations of the study was lack of detailed information on cases of Child Abuse and Neglect that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were recorded with child protection agencies, therefore only cases with details of the abused and</w:t>
      </w:r>
      <w:r w:rsidR="00473E07">
        <w:rPr>
          <w:rFonts w:ascii="Times New Roman" w:hAnsi="Times New Roman" w:cs="Times New Roman"/>
          <w:sz w:val="24"/>
          <w:szCs w:val="24"/>
        </w:rPr>
        <w:t>/</w:t>
      </w:r>
      <w:r w:rsidRPr="00F31F5B">
        <w:rPr>
          <w:rFonts w:ascii="Times New Roman" w:hAnsi="Times New Roman" w:cs="Times New Roman"/>
          <w:sz w:val="24"/>
          <w:szCs w:val="24"/>
        </w:rPr>
        <w:t>or</w:t>
      </w:r>
      <w:r w:rsidR="00473E07">
        <w:rPr>
          <w:rFonts w:ascii="Times New Roman" w:hAnsi="Times New Roman" w:cs="Times New Roman"/>
          <w:sz w:val="24"/>
          <w:szCs w:val="24"/>
        </w:rPr>
        <w:t xml:space="preserve"> </w:t>
      </w:r>
      <w:r w:rsidRPr="00F31F5B">
        <w:rPr>
          <w:rFonts w:ascii="Times New Roman" w:hAnsi="Times New Roman" w:cs="Times New Roman"/>
          <w:sz w:val="24"/>
          <w:szCs w:val="24"/>
        </w:rPr>
        <w:t>neglected children and were traceable were eligible for the study.</w:t>
      </w:r>
    </w:p>
    <w:p w:rsidR="00665142" w:rsidRPr="00F31F5B" w:rsidRDefault="00876598" w:rsidP="00F3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142" w:rsidRPr="00F31F5B" w:rsidSect="00C15E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98" w:rsidRDefault="00876598" w:rsidP="00F31F5B">
      <w:pPr>
        <w:spacing w:after="0" w:line="240" w:lineRule="auto"/>
      </w:pPr>
      <w:r>
        <w:separator/>
      </w:r>
    </w:p>
  </w:endnote>
  <w:endnote w:type="continuationSeparator" w:id="1">
    <w:p w:rsidR="00876598" w:rsidRDefault="00876598" w:rsidP="00F3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969"/>
      <w:docPartObj>
        <w:docPartGallery w:val="Page Numbers (Bottom of Page)"/>
        <w:docPartUnique/>
      </w:docPartObj>
    </w:sdtPr>
    <w:sdtContent>
      <w:p w:rsidR="00F31F5B" w:rsidRDefault="00F31F5B">
        <w:pPr>
          <w:pStyle w:val="Footer"/>
          <w:jc w:val="center"/>
        </w:pPr>
        <w:fldSimple w:instr=" PAGE   \* MERGEFORMAT ">
          <w:r w:rsidR="00876598">
            <w:rPr>
              <w:noProof/>
            </w:rPr>
            <w:t>1</w:t>
          </w:r>
        </w:fldSimple>
      </w:p>
    </w:sdtContent>
  </w:sdt>
  <w:p w:rsidR="00F31F5B" w:rsidRDefault="00F31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98" w:rsidRDefault="00876598" w:rsidP="00F31F5B">
      <w:pPr>
        <w:spacing w:after="0" w:line="240" w:lineRule="auto"/>
      </w:pPr>
      <w:r>
        <w:separator/>
      </w:r>
    </w:p>
  </w:footnote>
  <w:footnote w:type="continuationSeparator" w:id="1">
    <w:p w:rsidR="00876598" w:rsidRDefault="00876598" w:rsidP="00F31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comments="0" w:insDel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F5B"/>
    <w:rsid w:val="00332E08"/>
    <w:rsid w:val="00473E07"/>
    <w:rsid w:val="00752969"/>
    <w:rsid w:val="00876598"/>
    <w:rsid w:val="00C15E0A"/>
    <w:rsid w:val="00F3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F5B"/>
  </w:style>
  <w:style w:type="paragraph" w:styleId="Footer">
    <w:name w:val="footer"/>
    <w:basedOn w:val="Normal"/>
    <w:link w:val="FooterChar"/>
    <w:uiPriority w:val="99"/>
    <w:unhideWhenUsed/>
    <w:rsid w:val="00F3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1</cp:revision>
  <dcterms:created xsi:type="dcterms:W3CDTF">2021-03-23T09:18:00Z</dcterms:created>
  <dcterms:modified xsi:type="dcterms:W3CDTF">2021-03-23T09:41:00Z</dcterms:modified>
</cp:coreProperties>
</file>